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E65E88" w:rsidRDefault="007166E3" w:rsidP="007166E3">
      <w:pPr>
        <w:spacing w:line="480" w:lineRule="auto"/>
        <w:jc w:val="center"/>
        <w:rPr>
          <w:rFonts w:ascii="Times New Roman" w:hAnsi="Times New Roman" w:cs="Times New Roman"/>
          <w:sz w:val="24"/>
          <w:szCs w:val="24"/>
        </w:rPr>
      </w:pPr>
      <w:r>
        <w:rPr>
          <w:rFonts w:ascii="Times New Roman" w:hAnsi="Times New Roman" w:cs="Times New Roman"/>
          <w:sz w:val="24"/>
          <w:szCs w:val="24"/>
        </w:rPr>
        <w:t>Legal (Proximate</w:t>
      </w:r>
      <w:r w:rsidR="00EC0C3E">
        <w:rPr>
          <w:rFonts w:ascii="Times New Roman" w:hAnsi="Times New Roman" w:cs="Times New Roman"/>
          <w:sz w:val="24"/>
          <w:szCs w:val="24"/>
        </w:rPr>
        <w:t>)</w:t>
      </w:r>
      <w:r>
        <w:rPr>
          <w:rFonts w:ascii="Times New Roman" w:hAnsi="Times New Roman" w:cs="Times New Roman"/>
          <w:sz w:val="24"/>
          <w:szCs w:val="24"/>
        </w:rPr>
        <w:t xml:space="preserve"> Cause</w:t>
      </w: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66E3" w:rsidRDefault="007166E3" w:rsidP="007166E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166E3" w:rsidRDefault="007166E3" w:rsidP="007166E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p>
    <w:p w:rsidR="007166E3" w:rsidRDefault="007166E3" w:rsidP="007166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Legal (Proximate</w:t>
      </w:r>
      <w:r w:rsidR="003553B8">
        <w:rPr>
          <w:rFonts w:ascii="Times New Roman" w:hAnsi="Times New Roman" w:cs="Times New Roman"/>
          <w:sz w:val="24"/>
          <w:szCs w:val="24"/>
        </w:rPr>
        <w:t>)</w:t>
      </w:r>
      <w:r>
        <w:rPr>
          <w:rFonts w:ascii="Times New Roman" w:hAnsi="Times New Roman" w:cs="Times New Roman"/>
          <w:sz w:val="24"/>
          <w:szCs w:val="24"/>
        </w:rPr>
        <w:t xml:space="preserve"> Cause</w:t>
      </w:r>
    </w:p>
    <w:p w:rsidR="007166E3" w:rsidRPr="00BD5C15" w:rsidRDefault="007166E3" w:rsidP="007166E3">
      <w:pPr>
        <w:spacing w:line="480" w:lineRule="auto"/>
        <w:jc w:val="center"/>
        <w:rPr>
          <w:rFonts w:ascii="Times New Roman" w:hAnsi="Times New Roman" w:cs="Times New Roman"/>
          <w:b/>
          <w:sz w:val="24"/>
          <w:szCs w:val="24"/>
        </w:rPr>
      </w:pPr>
      <w:r w:rsidRPr="00BD5C15">
        <w:rPr>
          <w:rFonts w:ascii="Times New Roman" w:hAnsi="Times New Roman" w:cs="Times New Roman"/>
          <w:b/>
          <w:sz w:val="24"/>
          <w:szCs w:val="24"/>
        </w:rPr>
        <w:t xml:space="preserve">Introduction </w:t>
      </w:r>
    </w:p>
    <w:p w:rsidR="003553B8" w:rsidRDefault="007166E3" w:rsidP="007166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Proximate cause is concerned with the legal liability when the imposition of liability is under consideration. </w:t>
      </w:r>
      <w:r w:rsidR="00EC0C3E">
        <w:rPr>
          <w:rFonts w:ascii="Times New Roman" w:hAnsi="Times New Roman" w:cs="Times New Roman"/>
          <w:sz w:val="24"/>
          <w:szCs w:val="24"/>
        </w:rPr>
        <w:t>Amongst the causes for imposing the burden of compensation for the consequence of an omission or action may be that such an omission or act was the proximate reason of the injury</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proofErr w:type="spellStart"/>
      <w:r w:rsidR="00A12C42">
        <w:rPr>
          <w:rFonts w:ascii="Times New Roman" w:eastAsia="Times New Roman" w:hAnsi="Times New Roman" w:cs="Times New Roman"/>
          <w:color w:val="000000"/>
          <w:sz w:val="24"/>
          <w:szCs w:val="24"/>
        </w:rPr>
        <w:t>Hovenkamp</w:t>
      </w:r>
      <w:proofErr w:type="spellEnd"/>
      <w:r w:rsidR="00A12C42">
        <w:rPr>
          <w:rFonts w:ascii="Times New Roman" w:eastAsia="Times New Roman" w:hAnsi="Times New Roman" w:cs="Times New Roman"/>
          <w:color w:val="000000"/>
          <w:sz w:val="24"/>
          <w:szCs w:val="24"/>
        </w:rPr>
        <w:t>, 200</w:t>
      </w:r>
      <w:r w:rsidR="00A12C42" w:rsidRPr="00EF4D34">
        <w:rPr>
          <w:rFonts w:ascii="Times New Roman" w:eastAsia="Times New Roman" w:hAnsi="Times New Roman" w:cs="Times New Roman"/>
          <w:color w:val="000000"/>
          <w:sz w:val="24"/>
          <w:szCs w:val="24"/>
        </w:rPr>
        <w:t>2)</w:t>
      </w:r>
      <w:r w:rsidR="00EC0C3E">
        <w:rPr>
          <w:rFonts w:ascii="Times New Roman" w:hAnsi="Times New Roman" w:cs="Times New Roman"/>
          <w:sz w:val="24"/>
          <w:szCs w:val="24"/>
        </w:rPr>
        <w:t>. However, an omission or act is not considered as the proximate cause of injury because compensation for a sustained injury can be demanded from an individual who acted or did not act. Liability without fault is not associated with proximate cause neither does failure to demand compensation based on the excuse from consequences or justification of an action</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r w:rsidR="00A12C42">
        <w:rPr>
          <w:rFonts w:ascii="Times New Roman" w:eastAsia="Times New Roman" w:hAnsi="Times New Roman" w:cs="Times New Roman"/>
          <w:color w:val="000000"/>
          <w:sz w:val="24"/>
          <w:szCs w:val="24"/>
        </w:rPr>
        <w:t>Cox, 201</w:t>
      </w:r>
      <w:r w:rsidR="00A12C42" w:rsidRPr="00EF4D34">
        <w:rPr>
          <w:rFonts w:ascii="Times New Roman" w:eastAsia="Times New Roman" w:hAnsi="Times New Roman" w:cs="Times New Roman"/>
          <w:color w:val="000000"/>
          <w:sz w:val="24"/>
          <w:szCs w:val="24"/>
        </w:rPr>
        <w:t>9</w:t>
      </w:r>
      <w:r w:rsidR="00A12C42">
        <w:rPr>
          <w:rFonts w:ascii="Times New Roman" w:eastAsia="Times New Roman" w:hAnsi="Times New Roman" w:cs="Times New Roman"/>
          <w:color w:val="000000"/>
          <w:sz w:val="24"/>
          <w:szCs w:val="24"/>
        </w:rPr>
        <w:t>)</w:t>
      </w:r>
      <w:r w:rsidR="00EC0C3E">
        <w:rPr>
          <w:rFonts w:ascii="Times New Roman" w:hAnsi="Times New Roman" w:cs="Times New Roman"/>
          <w:sz w:val="24"/>
          <w:szCs w:val="24"/>
        </w:rPr>
        <w:t xml:space="preserve">. </w:t>
      </w:r>
      <w:r w:rsidR="00BD5C15">
        <w:rPr>
          <w:rFonts w:ascii="Times New Roman" w:hAnsi="Times New Roman" w:cs="Times New Roman"/>
          <w:sz w:val="24"/>
          <w:szCs w:val="24"/>
        </w:rPr>
        <w:t>There are issues which are collateral to, although not associated with the principles of proximate cause. This is the same to liabilities under the doctrines of civil damage acts, under respond at superior or workmen’s compensation laws. In cases where issues are concerned, liability is imposed because a number of social considerations with which the matter of proximate cause is not connected</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proofErr w:type="spellStart"/>
      <w:r w:rsidR="00A12C42">
        <w:rPr>
          <w:rFonts w:ascii="Times New Roman" w:eastAsia="Times New Roman" w:hAnsi="Times New Roman" w:cs="Times New Roman"/>
          <w:color w:val="000000"/>
          <w:sz w:val="24"/>
          <w:szCs w:val="24"/>
        </w:rPr>
        <w:t>Traeger</w:t>
      </w:r>
      <w:proofErr w:type="spellEnd"/>
      <w:r w:rsidR="00A12C42">
        <w:rPr>
          <w:rFonts w:ascii="Times New Roman" w:eastAsia="Times New Roman" w:hAnsi="Times New Roman" w:cs="Times New Roman"/>
          <w:color w:val="000000"/>
          <w:sz w:val="24"/>
          <w:szCs w:val="24"/>
        </w:rPr>
        <w:t>, 201</w:t>
      </w:r>
      <w:r w:rsidR="00A12C42" w:rsidRPr="00EF4D34">
        <w:rPr>
          <w:rFonts w:ascii="Times New Roman" w:eastAsia="Times New Roman" w:hAnsi="Times New Roman" w:cs="Times New Roman"/>
          <w:color w:val="000000"/>
          <w:sz w:val="24"/>
          <w:szCs w:val="24"/>
        </w:rPr>
        <w:t>6</w:t>
      </w:r>
      <w:r w:rsidR="00A12C42">
        <w:rPr>
          <w:rFonts w:ascii="Times New Roman" w:eastAsia="Times New Roman" w:hAnsi="Times New Roman" w:cs="Times New Roman"/>
          <w:color w:val="000000"/>
          <w:sz w:val="24"/>
          <w:szCs w:val="24"/>
        </w:rPr>
        <w:t>)</w:t>
      </w:r>
      <w:r w:rsidR="00BD5C15">
        <w:rPr>
          <w:rFonts w:ascii="Times New Roman" w:hAnsi="Times New Roman" w:cs="Times New Roman"/>
          <w:sz w:val="24"/>
          <w:szCs w:val="24"/>
        </w:rPr>
        <w:t>. Rules or laws concerned with proximate cause are similar with rules seen in science</w:t>
      </w:r>
      <w:r w:rsidR="003553B8">
        <w:rPr>
          <w:rFonts w:ascii="Times New Roman" w:hAnsi="Times New Roman" w:cs="Times New Roman"/>
          <w:sz w:val="24"/>
          <w:szCs w:val="24"/>
        </w:rPr>
        <w:t>s</w:t>
      </w:r>
      <w:r w:rsidR="00BD5C15">
        <w:rPr>
          <w:rFonts w:ascii="Times New Roman" w:hAnsi="Times New Roman" w:cs="Times New Roman"/>
          <w:sz w:val="24"/>
          <w:szCs w:val="24"/>
        </w:rPr>
        <w:t xml:space="preserve"> or mathematics which depend on physical observations and the determination or causal connections between such physical phenomena. </w:t>
      </w:r>
    </w:p>
    <w:p w:rsidR="000D2646" w:rsidRPr="000D2646" w:rsidRDefault="000D2646" w:rsidP="000D2646">
      <w:pPr>
        <w:spacing w:line="480" w:lineRule="auto"/>
        <w:ind w:firstLine="720"/>
        <w:jc w:val="center"/>
        <w:rPr>
          <w:rFonts w:ascii="Times New Roman" w:hAnsi="Times New Roman" w:cs="Times New Roman"/>
          <w:b/>
          <w:sz w:val="24"/>
          <w:szCs w:val="24"/>
        </w:rPr>
      </w:pPr>
      <w:r w:rsidRPr="000D2646">
        <w:rPr>
          <w:rFonts w:ascii="Times New Roman" w:hAnsi="Times New Roman" w:cs="Times New Roman"/>
          <w:b/>
          <w:sz w:val="24"/>
          <w:szCs w:val="24"/>
        </w:rPr>
        <w:t>Negligible Rule</w:t>
      </w:r>
    </w:p>
    <w:p w:rsidR="000578FC" w:rsidRDefault="000578FC" w:rsidP="000578F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Courts that apply the doctrine of reasonable foresight act as if they are concerned with reducing the insurance element of the negligible rule. Individuals cannot perfectly evade inadvertent negligence and the liability that remains after individuals have made use of reasonable liability, which exists without prompting any valuable behavioral response</w:t>
      </w:r>
      <w:r w:rsidR="00A12C42">
        <w:rPr>
          <w:rFonts w:ascii="Times New Roman" w:hAnsi="Times New Roman" w:cs="Times New Roman"/>
          <w:sz w:val="24"/>
          <w:szCs w:val="24"/>
        </w:rPr>
        <w:t xml:space="preserve"> </w:t>
      </w:r>
      <w:r w:rsidR="00A12C42">
        <w:rPr>
          <w:rFonts w:ascii="Times New Roman" w:hAnsi="Times New Roman" w:cs="Times New Roman"/>
          <w:sz w:val="24"/>
          <w:szCs w:val="24"/>
        </w:rPr>
        <w:lastRenderedPageBreak/>
        <w:t>(</w:t>
      </w:r>
      <w:proofErr w:type="spellStart"/>
      <w:r w:rsidR="00A12C42">
        <w:rPr>
          <w:rFonts w:ascii="Times New Roman" w:eastAsia="Times New Roman" w:hAnsi="Times New Roman" w:cs="Times New Roman"/>
          <w:color w:val="000000"/>
          <w:sz w:val="24"/>
          <w:szCs w:val="24"/>
        </w:rPr>
        <w:t>Traeger</w:t>
      </w:r>
      <w:proofErr w:type="spellEnd"/>
      <w:r w:rsidR="00A12C42">
        <w:rPr>
          <w:rFonts w:ascii="Times New Roman" w:eastAsia="Times New Roman" w:hAnsi="Times New Roman" w:cs="Times New Roman"/>
          <w:color w:val="000000"/>
          <w:sz w:val="24"/>
          <w:szCs w:val="24"/>
        </w:rPr>
        <w:t>, 201</w:t>
      </w:r>
      <w:r w:rsidR="00A12C42" w:rsidRPr="00EF4D34">
        <w:rPr>
          <w:rFonts w:ascii="Times New Roman" w:eastAsia="Times New Roman" w:hAnsi="Times New Roman" w:cs="Times New Roman"/>
          <w:color w:val="000000"/>
          <w:sz w:val="24"/>
          <w:szCs w:val="24"/>
        </w:rPr>
        <w:t>6</w:t>
      </w:r>
      <w:r w:rsidR="00A12C42">
        <w:rPr>
          <w:rFonts w:ascii="Times New Roman" w:eastAsia="Times New Roman" w:hAnsi="Times New Roman" w:cs="Times New Roman"/>
          <w:color w:val="000000"/>
          <w:sz w:val="24"/>
          <w:szCs w:val="24"/>
        </w:rPr>
        <w:t>)</w:t>
      </w:r>
      <w:r>
        <w:rPr>
          <w:rFonts w:ascii="Times New Roman" w:hAnsi="Times New Roman" w:cs="Times New Roman"/>
          <w:sz w:val="24"/>
          <w:szCs w:val="24"/>
        </w:rPr>
        <w:t>. Although an extensive liability causes individuals to reduce their levels of activity, the doctrine of reasonable doctrine bars liability for purely coincidental accidents. Forcing individuals who are liable for such accidents would severely punish their inadvertent lapses and would result to reduced activity levels</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proofErr w:type="spellStart"/>
      <w:r w:rsidR="00A12C42">
        <w:rPr>
          <w:rFonts w:ascii="Times New Roman" w:eastAsia="Times New Roman" w:hAnsi="Times New Roman" w:cs="Times New Roman"/>
          <w:color w:val="000000"/>
          <w:sz w:val="24"/>
          <w:szCs w:val="24"/>
        </w:rPr>
        <w:t>Hovenkamp</w:t>
      </w:r>
      <w:proofErr w:type="spellEnd"/>
      <w:r w:rsidR="00A12C42">
        <w:rPr>
          <w:rFonts w:ascii="Times New Roman" w:eastAsia="Times New Roman" w:hAnsi="Times New Roman" w:cs="Times New Roman"/>
          <w:color w:val="000000"/>
          <w:sz w:val="24"/>
          <w:szCs w:val="24"/>
        </w:rPr>
        <w:t>, 200</w:t>
      </w:r>
      <w:r w:rsidR="00A12C42" w:rsidRPr="00EF4D34">
        <w:rPr>
          <w:rFonts w:ascii="Times New Roman" w:eastAsia="Times New Roman" w:hAnsi="Times New Roman" w:cs="Times New Roman"/>
          <w:color w:val="000000"/>
          <w:sz w:val="24"/>
          <w:szCs w:val="24"/>
        </w:rPr>
        <w:t>2)</w:t>
      </w:r>
      <w:r>
        <w:rPr>
          <w:rFonts w:ascii="Times New Roman" w:hAnsi="Times New Roman" w:cs="Times New Roman"/>
          <w:sz w:val="24"/>
          <w:szCs w:val="24"/>
        </w:rPr>
        <w:t xml:space="preserve">. If an individual has been inadvertently negligent, the opportunity of heading of the risk before hurting the plaintiff is possessed by someone else. The court’s main objective of the court is cutting off the liability of the original wrongdoer if the incentive of making use of corrective precaution is conducted by someone else. This facet of proximate cause lays focus on liability on the party with the opportunity of making use of corrective precaution, since such a party is left as the sole tort </w:t>
      </w:r>
      <w:proofErr w:type="spellStart"/>
      <w:r>
        <w:rPr>
          <w:rFonts w:ascii="Times New Roman" w:hAnsi="Times New Roman" w:cs="Times New Roman"/>
          <w:sz w:val="24"/>
          <w:szCs w:val="24"/>
        </w:rPr>
        <w:t>feasor</w:t>
      </w:r>
      <w:proofErr w:type="spellEnd"/>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r w:rsidR="00A12C42">
        <w:rPr>
          <w:rFonts w:ascii="Times New Roman" w:eastAsia="Times New Roman" w:hAnsi="Times New Roman" w:cs="Times New Roman"/>
          <w:color w:val="000000"/>
          <w:sz w:val="24"/>
          <w:szCs w:val="24"/>
        </w:rPr>
        <w:t>Levitt, 2017</w:t>
      </w:r>
      <w:r w:rsidR="00A12C42" w:rsidRPr="00EF4D34">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w:t>
      </w:r>
    </w:p>
    <w:p w:rsidR="000578FC" w:rsidRDefault="000D2646" w:rsidP="000D2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other court’s objective is to preserve the liability of individuals who may have negligently stimulated other irresponsible individuals to behave negligently. Most importantly, courts act as if they desire to retain the liability of individuals who may have negligently subjected other individuals to a risk of inadvertent negligence. Reasonable foresight and direct consequences are the two major proximate cause doctrines, which are never mutually exclusive</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proofErr w:type="spellStart"/>
      <w:r w:rsidR="00A12C42">
        <w:rPr>
          <w:rFonts w:ascii="Times New Roman" w:eastAsia="Times New Roman" w:hAnsi="Times New Roman" w:cs="Times New Roman"/>
          <w:color w:val="000000"/>
          <w:sz w:val="24"/>
          <w:szCs w:val="24"/>
        </w:rPr>
        <w:t>Traeger</w:t>
      </w:r>
      <w:proofErr w:type="spellEnd"/>
      <w:r w:rsidR="00A12C42">
        <w:rPr>
          <w:rFonts w:ascii="Times New Roman" w:eastAsia="Times New Roman" w:hAnsi="Times New Roman" w:cs="Times New Roman"/>
          <w:color w:val="000000"/>
          <w:sz w:val="24"/>
          <w:szCs w:val="24"/>
        </w:rPr>
        <w:t>, 201</w:t>
      </w:r>
      <w:r w:rsidR="00A12C42" w:rsidRPr="00EF4D34">
        <w:rPr>
          <w:rFonts w:ascii="Times New Roman" w:eastAsia="Times New Roman" w:hAnsi="Times New Roman" w:cs="Times New Roman"/>
          <w:color w:val="000000"/>
          <w:sz w:val="24"/>
          <w:szCs w:val="24"/>
        </w:rPr>
        <w:t>6</w:t>
      </w:r>
      <w:r w:rsidR="00A12C42">
        <w:rPr>
          <w:rFonts w:ascii="Times New Roman" w:eastAsia="Times New Roman" w:hAnsi="Times New Roman" w:cs="Times New Roman"/>
          <w:color w:val="000000"/>
          <w:sz w:val="24"/>
          <w:szCs w:val="24"/>
        </w:rPr>
        <w:t>)</w:t>
      </w:r>
      <w:r>
        <w:rPr>
          <w:rFonts w:ascii="Times New Roman" w:hAnsi="Times New Roman" w:cs="Times New Roman"/>
          <w:sz w:val="24"/>
          <w:szCs w:val="24"/>
        </w:rPr>
        <w:t>. These two doctrines represent distinct perspectives but may sometimes be applicable to the same accident. The most effective way to approach proximate cause is by subdividing the two perspectives into several pieces. Distinct paradigms are contained in each of these perspectives and may only overlap across several perspectives but not within them</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proofErr w:type="spellStart"/>
      <w:r w:rsidR="00A12C42">
        <w:rPr>
          <w:rFonts w:ascii="Times New Roman" w:eastAsia="Times New Roman" w:hAnsi="Times New Roman" w:cs="Times New Roman"/>
          <w:color w:val="000000"/>
          <w:sz w:val="24"/>
          <w:szCs w:val="24"/>
        </w:rPr>
        <w:t>Traeger</w:t>
      </w:r>
      <w:proofErr w:type="spellEnd"/>
      <w:r w:rsidR="00A12C42">
        <w:rPr>
          <w:rFonts w:ascii="Times New Roman" w:eastAsia="Times New Roman" w:hAnsi="Times New Roman" w:cs="Times New Roman"/>
          <w:color w:val="000000"/>
          <w:sz w:val="24"/>
          <w:szCs w:val="24"/>
        </w:rPr>
        <w:t>, 201</w:t>
      </w:r>
      <w:r w:rsidR="00A12C42" w:rsidRPr="00EF4D34">
        <w:rPr>
          <w:rFonts w:ascii="Times New Roman" w:eastAsia="Times New Roman" w:hAnsi="Times New Roman" w:cs="Times New Roman"/>
          <w:color w:val="000000"/>
          <w:sz w:val="24"/>
          <w:szCs w:val="24"/>
        </w:rPr>
        <w:t>6</w:t>
      </w:r>
      <w:r w:rsidR="00A12C42">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In fact, proximate cause cases regarded from the perspective of direct consequences follows a pattern whereby the original wrongdoer is negligent and then another person commits a second tort that has the same harm and a cause suffered by the plaintiff.      </w:t>
      </w:r>
    </w:p>
    <w:p w:rsidR="003B6F02" w:rsidRPr="00D9113C" w:rsidRDefault="003B6F02" w:rsidP="003B6F02">
      <w:pPr>
        <w:spacing w:line="480" w:lineRule="auto"/>
        <w:jc w:val="center"/>
        <w:rPr>
          <w:rFonts w:ascii="Times New Roman" w:hAnsi="Times New Roman" w:cs="Times New Roman"/>
          <w:b/>
          <w:sz w:val="24"/>
          <w:szCs w:val="24"/>
        </w:rPr>
      </w:pPr>
      <w:r w:rsidRPr="00D9113C">
        <w:rPr>
          <w:rFonts w:ascii="Times New Roman" w:hAnsi="Times New Roman" w:cs="Times New Roman"/>
          <w:b/>
          <w:sz w:val="24"/>
          <w:szCs w:val="24"/>
        </w:rPr>
        <w:t>Analysis</w:t>
      </w:r>
    </w:p>
    <w:p w:rsidR="009D66F3" w:rsidRDefault="00392C6A" w:rsidP="009D66F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legal cause is any kind of forbidden omission or act that contributes towards the creation, </w:t>
      </w:r>
      <w:r w:rsidR="00FF5E4A">
        <w:rPr>
          <w:rFonts w:ascii="Times New Roman" w:hAnsi="Times New Roman" w:cs="Times New Roman"/>
          <w:sz w:val="24"/>
          <w:szCs w:val="24"/>
        </w:rPr>
        <w:t>actuality</w:t>
      </w:r>
      <w:r>
        <w:rPr>
          <w:rFonts w:ascii="Times New Roman" w:hAnsi="Times New Roman" w:cs="Times New Roman"/>
          <w:sz w:val="24"/>
          <w:szCs w:val="24"/>
        </w:rPr>
        <w:t xml:space="preserve">, </w:t>
      </w:r>
      <w:r w:rsidR="00FF5E4A">
        <w:rPr>
          <w:rFonts w:ascii="Times New Roman" w:hAnsi="Times New Roman" w:cs="Times New Roman"/>
          <w:sz w:val="24"/>
          <w:szCs w:val="24"/>
        </w:rPr>
        <w:t xml:space="preserve">destruction of any situation or event that harms a legal individual. Before an omission or act is </w:t>
      </w:r>
      <w:r w:rsidR="00D9113C">
        <w:rPr>
          <w:rFonts w:ascii="Times New Roman" w:hAnsi="Times New Roman" w:cs="Times New Roman"/>
          <w:sz w:val="24"/>
          <w:szCs w:val="24"/>
        </w:rPr>
        <w:t>deliberated</w:t>
      </w:r>
      <w:r w:rsidR="00FF5E4A">
        <w:rPr>
          <w:rFonts w:ascii="Times New Roman" w:hAnsi="Times New Roman" w:cs="Times New Roman"/>
          <w:sz w:val="24"/>
          <w:szCs w:val="24"/>
        </w:rPr>
        <w:t xml:space="preserve"> as a legal cause such an omission or act must have already been forbidden by an authority, which is capable and competent to create and enforce such a prohibition</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proofErr w:type="spellStart"/>
      <w:r w:rsidR="00A12C42">
        <w:rPr>
          <w:rFonts w:ascii="Times New Roman" w:eastAsia="Times New Roman" w:hAnsi="Times New Roman" w:cs="Times New Roman"/>
          <w:color w:val="000000"/>
          <w:sz w:val="24"/>
          <w:szCs w:val="24"/>
        </w:rPr>
        <w:t>Hovenkamp</w:t>
      </w:r>
      <w:proofErr w:type="spellEnd"/>
      <w:r w:rsidR="00A12C42">
        <w:rPr>
          <w:rFonts w:ascii="Times New Roman" w:eastAsia="Times New Roman" w:hAnsi="Times New Roman" w:cs="Times New Roman"/>
          <w:color w:val="000000"/>
          <w:sz w:val="24"/>
          <w:szCs w:val="24"/>
        </w:rPr>
        <w:t>, 200</w:t>
      </w:r>
      <w:r w:rsidR="00A12C42" w:rsidRPr="00EF4D34">
        <w:rPr>
          <w:rFonts w:ascii="Times New Roman" w:eastAsia="Times New Roman" w:hAnsi="Times New Roman" w:cs="Times New Roman"/>
          <w:color w:val="000000"/>
          <w:sz w:val="24"/>
          <w:szCs w:val="24"/>
        </w:rPr>
        <w:t>2)</w:t>
      </w:r>
      <w:r w:rsidR="00FF5E4A">
        <w:rPr>
          <w:rFonts w:ascii="Times New Roman" w:hAnsi="Times New Roman" w:cs="Times New Roman"/>
          <w:sz w:val="24"/>
          <w:szCs w:val="24"/>
        </w:rPr>
        <w:t xml:space="preserve">. </w:t>
      </w:r>
      <w:r w:rsidR="009D66F3">
        <w:rPr>
          <w:rFonts w:ascii="Times New Roman" w:hAnsi="Times New Roman" w:cs="Times New Roman"/>
          <w:sz w:val="24"/>
          <w:szCs w:val="24"/>
        </w:rPr>
        <w:t>Considering the case of O’Malley v. Laurel Line Bus Company, the bus driver of the defendant dropped the plaintiff out of the bus on a stormy, dark night in the middle of the street. However, the plaintiff was immediately struck by an oncoming vehicle because the driver failed to notify the plaintiff where he was being dropped</w:t>
      </w:r>
      <w:r w:rsidR="009D66F3">
        <w:rPr>
          <w:rFonts w:ascii="Times New Roman" w:hAnsi="Times New Roman" w:cs="Times New Roman"/>
          <w:sz w:val="24"/>
          <w:szCs w:val="24"/>
        </w:rPr>
        <w:t xml:space="preserve"> </w:t>
      </w:r>
      <w:r w:rsidR="009D66F3">
        <w:rPr>
          <w:rFonts w:ascii="Times New Roman" w:hAnsi="Times New Roman" w:cs="Times New Roman"/>
          <w:sz w:val="24"/>
          <w:szCs w:val="24"/>
        </w:rPr>
        <w:t>(</w:t>
      </w:r>
      <w:proofErr w:type="spellStart"/>
      <w:r w:rsidR="009D66F3">
        <w:rPr>
          <w:rFonts w:ascii="Times New Roman" w:eastAsia="Times New Roman" w:hAnsi="Times New Roman" w:cs="Times New Roman"/>
          <w:color w:val="000000"/>
          <w:sz w:val="24"/>
          <w:szCs w:val="24"/>
        </w:rPr>
        <w:t>Traeger</w:t>
      </w:r>
      <w:proofErr w:type="spellEnd"/>
      <w:r w:rsidR="009D66F3">
        <w:rPr>
          <w:rFonts w:ascii="Times New Roman" w:eastAsia="Times New Roman" w:hAnsi="Times New Roman" w:cs="Times New Roman"/>
          <w:color w:val="000000"/>
          <w:sz w:val="24"/>
          <w:szCs w:val="24"/>
        </w:rPr>
        <w:t>, 201</w:t>
      </w:r>
      <w:r w:rsidR="009D66F3" w:rsidRPr="00EF4D34">
        <w:rPr>
          <w:rFonts w:ascii="Times New Roman" w:eastAsia="Times New Roman" w:hAnsi="Times New Roman" w:cs="Times New Roman"/>
          <w:color w:val="000000"/>
          <w:sz w:val="24"/>
          <w:szCs w:val="24"/>
        </w:rPr>
        <w:t>6</w:t>
      </w:r>
      <w:r w:rsidR="009D66F3">
        <w:rPr>
          <w:rFonts w:ascii="Times New Roman" w:eastAsia="Times New Roman" w:hAnsi="Times New Roman" w:cs="Times New Roman"/>
          <w:color w:val="000000"/>
          <w:sz w:val="24"/>
          <w:szCs w:val="24"/>
        </w:rPr>
        <w:t>)</w:t>
      </w:r>
      <w:r w:rsidR="009D66F3">
        <w:rPr>
          <w:rFonts w:ascii="Times New Roman" w:hAnsi="Times New Roman" w:cs="Times New Roman"/>
          <w:sz w:val="24"/>
          <w:szCs w:val="24"/>
        </w:rPr>
        <w:t xml:space="preserve">. In this case, the plaintiff had assumed that he had being dropped at his regular bus stop and for that reason, the court held that the defendant was liable. The court reached this decision because letting individuals in the middle of the road does not mean that there is a systematic relationship with being hit by a car. </w:t>
      </w:r>
    </w:p>
    <w:p w:rsidR="00246DAA" w:rsidRDefault="009D66F3" w:rsidP="009D66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suggests that </w:t>
      </w:r>
      <w:r w:rsidR="00804C86">
        <w:rPr>
          <w:rFonts w:ascii="Times New Roman" w:hAnsi="Times New Roman" w:cs="Times New Roman"/>
          <w:sz w:val="24"/>
          <w:szCs w:val="24"/>
        </w:rPr>
        <w:t>a negligent act usually results to some kind of injury based on the time, place or the circumstance through which such an act was conducted.</w:t>
      </w:r>
      <w:r w:rsidR="001B641A">
        <w:rPr>
          <w:rFonts w:ascii="Times New Roman" w:hAnsi="Times New Roman" w:cs="Times New Roman"/>
          <w:sz w:val="24"/>
          <w:szCs w:val="24"/>
        </w:rPr>
        <w:t xml:space="preserve"> Usually, a negligent act is forbidden by common law, although nothing is considered to be negligent unless </w:t>
      </w:r>
      <w:r w:rsidR="00832B61">
        <w:rPr>
          <w:rFonts w:ascii="Times New Roman" w:hAnsi="Times New Roman" w:cs="Times New Roman"/>
          <w:sz w:val="24"/>
          <w:szCs w:val="24"/>
        </w:rPr>
        <w:t xml:space="preserve">if it was foreseeable when it was performed and is of harmful nature. </w:t>
      </w:r>
      <w:r w:rsidR="00930911">
        <w:rPr>
          <w:rFonts w:ascii="Times New Roman" w:hAnsi="Times New Roman" w:cs="Times New Roman"/>
          <w:sz w:val="24"/>
          <w:szCs w:val="24"/>
        </w:rPr>
        <w:t>If such an act is not harmful and was bidden, then such an act is forbidden because prohibition is determined by foreseeable-ness and if it does not determine causation, then it does not determine proximate cause</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r w:rsidR="00A12C42">
        <w:rPr>
          <w:rFonts w:ascii="Times New Roman" w:eastAsia="Times New Roman" w:hAnsi="Times New Roman" w:cs="Times New Roman"/>
          <w:color w:val="000000"/>
          <w:sz w:val="24"/>
          <w:szCs w:val="24"/>
        </w:rPr>
        <w:t>Levitt, 2017</w:t>
      </w:r>
      <w:r w:rsidR="00A12C42" w:rsidRPr="00EF4D34">
        <w:rPr>
          <w:rFonts w:ascii="Times New Roman" w:eastAsia="Times New Roman" w:hAnsi="Times New Roman" w:cs="Times New Roman"/>
          <w:color w:val="000000"/>
          <w:sz w:val="24"/>
          <w:szCs w:val="24"/>
        </w:rPr>
        <w:t>)</w:t>
      </w:r>
      <w:r w:rsidR="00930911">
        <w:rPr>
          <w:rFonts w:ascii="Times New Roman" w:hAnsi="Times New Roman" w:cs="Times New Roman"/>
          <w:sz w:val="24"/>
          <w:szCs w:val="24"/>
        </w:rPr>
        <w:t xml:space="preserve">. </w:t>
      </w:r>
      <w:r>
        <w:rPr>
          <w:rFonts w:ascii="Times New Roman" w:hAnsi="Times New Roman" w:cs="Times New Roman"/>
          <w:sz w:val="24"/>
          <w:szCs w:val="24"/>
        </w:rPr>
        <w:t>The prohibition is enforced by common law or legislative fiat such as ordinances, statutes or constitutions of various types. A legislative prohibition does not consider whether or not an omission or act is of hurtful character, whilst a common law prohibition considers time, place or the circumstances of the omission or act to determine whether it was of hurtful nature or not (</w:t>
      </w:r>
      <w:r>
        <w:rPr>
          <w:rFonts w:ascii="Times New Roman" w:eastAsia="Times New Roman" w:hAnsi="Times New Roman" w:cs="Times New Roman"/>
          <w:color w:val="000000"/>
          <w:sz w:val="24"/>
          <w:szCs w:val="24"/>
        </w:rPr>
        <w:t>Levitt, 2017</w:t>
      </w:r>
      <w:r w:rsidRPr="00EF4D34">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w:t>
      </w:r>
    </w:p>
    <w:p w:rsidR="000D2646" w:rsidRDefault="000D2646" w:rsidP="000D264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issue of finding out if a proximate cause does or fails to exist in a new set of facts is the challenge of inspection and comparison. There is a complex cause and effects in the physical universe that connects a definite injury, omission or act, which allegedly resulted to that injury. Existing laws considers the delimited field and discovers that as an objectively demonstrable fact that the injury is or is not proximately produced, by an omission or act, which is under consideration</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r w:rsidR="00A12C42">
        <w:rPr>
          <w:rFonts w:ascii="Times New Roman" w:eastAsia="Times New Roman" w:hAnsi="Times New Roman" w:cs="Times New Roman"/>
          <w:color w:val="000000"/>
          <w:sz w:val="24"/>
          <w:szCs w:val="24"/>
        </w:rPr>
        <w:t>Cox, 201</w:t>
      </w:r>
      <w:r w:rsidR="00A12C42" w:rsidRPr="00EF4D34">
        <w:rPr>
          <w:rFonts w:ascii="Times New Roman" w:eastAsia="Times New Roman" w:hAnsi="Times New Roman" w:cs="Times New Roman"/>
          <w:color w:val="000000"/>
          <w:sz w:val="24"/>
          <w:szCs w:val="24"/>
        </w:rPr>
        <w:t>9</w:t>
      </w:r>
      <w:r w:rsidR="00A12C42">
        <w:rPr>
          <w:rFonts w:ascii="Times New Roman" w:eastAsia="Times New Roman" w:hAnsi="Times New Roman" w:cs="Times New Roman"/>
          <w:color w:val="000000"/>
          <w:sz w:val="24"/>
          <w:szCs w:val="24"/>
        </w:rPr>
        <w:t>)</w:t>
      </w:r>
      <w:r>
        <w:rPr>
          <w:rFonts w:ascii="Times New Roman" w:hAnsi="Times New Roman" w:cs="Times New Roman"/>
          <w:sz w:val="24"/>
          <w:szCs w:val="24"/>
        </w:rPr>
        <w:t>. Proximate cause is not associated with the elements or excuse or justification since justification is only applicable to acts. Usually, proximate cause eliminates the elements of wrongfulness from a specific act and turns such an act which is normally wrongful into one that is not. Justification is based upon circumstances and existence of special circumstances tend to act as justification of an act</w:t>
      </w:r>
      <w:r w:rsidR="00A12C42">
        <w:rPr>
          <w:rFonts w:ascii="Times New Roman" w:hAnsi="Times New Roman" w:cs="Times New Roman"/>
          <w:sz w:val="24"/>
          <w:szCs w:val="24"/>
        </w:rPr>
        <w:t xml:space="preserve"> (</w:t>
      </w:r>
      <w:proofErr w:type="spellStart"/>
      <w:r w:rsidR="00A12C42">
        <w:rPr>
          <w:rFonts w:ascii="Times New Roman" w:eastAsia="Times New Roman" w:hAnsi="Times New Roman" w:cs="Times New Roman"/>
          <w:color w:val="000000"/>
          <w:sz w:val="24"/>
          <w:szCs w:val="24"/>
        </w:rPr>
        <w:t>Hovenkamp</w:t>
      </w:r>
      <w:proofErr w:type="spellEnd"/>
      <w:r w:rsidR="00A12C42">
        <w:rPr>
          <w:rFonts w:ascii="Times New Roman" w:eastAsia="Times New Roman" w:hAnsi="Times New Roman" w:cs="Times New Roman"/>
          <w:color w:val="000000"/>
          <w:sz w:val="24"/>
          <w:szCs w:val="24"/>
        </w:rPr>
        <w:t>, </w:t>
      </w:r>
      <w:r w:rsidR="00A12C42">
        <w:rPr>
          <w:rFonts w:ascii="Times New Roman" w:eastAsia="Times New Roman" w:hAnsi="Times New Roman" w:cs="Times New Roman"/>
          <w:color w:val="000000"/>
          <w:sz w:val="24"/>
          <w:szCs w:val="24"/>
        </w:rPr>
        <w:t>200</w:t>
      </w:r>
      <w:r w:rsidR="00A12C42" w:rsidRPr="00EF4D34">
        <w:rPr>
          <w:rFonts w:ascii="Times New Roman" w:eastAsia="Times New Roman" w:hAnsi="Times New Roman" w:cs="Times New Roman"/>
          <w:color w:val="000000"/>
          <w:sz w:val="24"/>
          <w:szCs w:val="24"/>
        </w:rPr>
        <w:t>2)</w:t>
      </w:r>
      <w:r>
        <w:rPr>
          <w:rFonts w:ascii="Times New Roman" w:hAnsi="Times New Roman" w:cs="Times New Roman"/>
          <w:sz w:val="24"/>
          <w:szCs w:val="24"/>
        </w:rPr>
        <w:t>. Based upon the normal circumstances of a civilized society, the act of hitting an individual on the head with an object such as a club is wrong</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r w:rsidR="00A12C42">
        <w:rPr>
          <w:rFonts w:ascii="Times New Roman" w:eastAsia="Times New Roman" w:hAnsi="Times New Roman" w:cs="Times New Roman"/>
          <w:color w:val="000000"/>
          <w:sz w:val="24"/>
          <w:szCs w:val="24"/>
        </w:rPr>
        <w:t>Cox, 201</w:t>
      </w:r>
      <w:r w:rsidR="00A12C42" w:rsidRPr="00EF4D34">
        <w:rPr>
          <w:rFonts w:ascii="Times New Roman" w:eastAsia="Times New Roman" w:hAnsi="Times New Roman" w:cs="Times New Roman"/>
          <w:color w:val="000000"/>
          <w:sz w:val="24"/>
          <w:szCs w:val="24"/>
        </w:rPr>
        <w:t>9</w:t>
      </w:r>
      <w:r w:rsidR="00A12C42">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However, if the individual making attempts to rape the sister of the assailant the act of hitting is not considered to be wrongful.                </w:t>
      </w:r>
    </w:p>
    <w:p w:rsidR="000D2646" w:rsidRPr="000D2646" w:rsidRDefault="000D2646" w:rsidP="000D2646">
      <w:pPr>
        <w:spacing w:line="480" w:lineRule="auto"/>
        <w:ind w:firstLine="720"/>
        <w:jc w:val="center"/>
        <w:rPr>
          <w:rFonts w:ascii="Times New Roman" w:hAnsi="Times New Roman" w:cs="Times New Roman"/>
          <w:b/>
          <w:sz w:val="24"/>
          <w:szCs w:val="24"/>
        </w:rPr>
      </w:pPr>
      <w:r w:rsidRPr="000D2646">
        <w:rPr>
          <w:rFonts w:ascii="Times New Roman" w:hAnsi="Times New Roman" w:cs="Times New Roman"/>
          <w:b/>
          <w:sz w:val="24"/>
          <w:szCs w:val="24"/>
        </w:rPr>
        <w:t>Suggestions</w:t>
      </w:r>
    </w:p>
    <w:p w:rsidR="000D2646" w:rsidRDefault="00246DAA" w:rsidP="000D2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cases where a definitive injury has been produced through a direct application of the harmful party, the issue of proximate cause fails to present difficulties. The cause and the effects are connected closely through space and time that it is clear that the indicated injury was indeed produced by the said act</w:t>
      </w:r>
      <w:r w:rsidR="00A12C42">
        <w:rPr>
          <w:rFonts w:ascii="Times New Roman" w:hAnsi="Times New Roman" w:cs="Times New Roman"/>
          <w:sz w:val="24"/>
          <w:szCs w:val="24"/>
        </w:rPr>
        <w:t xml:space="preserve"> (</w:t>
      </w:r>
      <w:proofErr w:type="spellStart"/>
      <w:r w:rsidR="00A12C42">
        <w:rPr>
          <w:rFonts w:ascii="Times New Roman" w:eastAsia="Times New Roman" w:hAnsi="Times New Roman" w:cs="Times New Roman"/>
          <w:color w:val="000000"/>
          <w:sz w:val="24"/>
          <w:szCs w:val="24"/>
        </w:rPr>
        <w:t>Traeger</w:t>
      </w:r>
      <w:proofErr w:type="spellEnd"/>
      <w:r w:rsidR="00A12C42">
        <w:rPr>
          <w:rFonts w:ascii="Times New Roman" w:eastAsia="Times New Roman" w:hAnsi="Times New Roman" w:cs="Times New Roman"/>
          <w:color w:val="000000"/>
          <w:sz w:val="24"/>
          <w:szCs w:val="24"/>
        </w:rPr>
        <w:t>, </w:t>
      </w:r>
      <w:r w:rsidR="00A12C42">
        <w:rPr>
          <w:rFonts w:ascii="Times New Roman" w:eastAsia="Times New Roman" w:hAnsi="Times New Roman" w:cs="Times New Roman"/>
          <w:color w:val="000000"/>
          <w:sz w:val="24"/>
          <w:szCs w:val="24"/>
        </w:rPr>
        <w:t>201</w:t>
      </w:r>
      <w:r w:rsidR="00A12C42" w:rsidRPr="00EF4D34">
        <w:rPr>
          <w:rFonts w:ascii="Times New Roman" w:eastAsia="Times New Roman" w:hAnsi="Times New Roman" w:cs="Times New Roman"/>
          <w:color w:val="000000"/>
          <w:sz w:val="24"/>
          <w:szCs w:val="24"/>
        </w:rPr>
        <w:t>6</w:t>
      </w:r>
      <w:r w:rsidR="00A12C42">
        <w:rPr>
          <w:rFonts w:ascii="Times New Roman" w:eastAsia="Times New Roman" w:hAnsi="Times New Roman" w:cs="Times New Roman"/>
          <w:color w:val="000000"/>
          <w:sz w:val="24"/>
          <w:szCs w:val="24"/>
        </w:rPr>
        <w:t>)</w:t>
      </w:r>
      <w:r>
        <w:rPr>
          <w:rFonts w:ascii="Times New Roman" w:hAnsi="Times New Roman" w:cs="Times New Roman"/>
          <w:sz w:val="24"/>
          <w:szCs w:val="24"/>
        </w:rPr>
        <w:t>. When many agencies are distinct from each other based on space and time to a given injury, it is challenging to determine whether an omission or act should be labeled as the proximate cause</w:t>
      </w:r>
      <w:r w:rsidR="00A12C42">
        <w:rPr>
          <w:rFonts w:ascii="Times New Roman" w:hAnsi="Times New Roman" w:cs="Times New Roman"/>
          <w:sz w:val="24"/>
          <w:szCs w:val="24"/>
        </w:rPr>
        <w:t xml:space="preserve"> </w:t>
      </w:r>
      <w:r w:rsidR="00A12C42">
        <w:rPr>
          <w:rFonts w:ascii="Times New Roman" w:hAnsi="Times New Roman" w:cs="Times New Roman"/>
          <w:sz w:val="24"/>
          <w:szCs w:val="24"/>
        </w:rPr>
        <w:t>(</w:t>
      </w:r>
      <w:r w:rsidR="00A12C42">
        <w:rPr>
          <w:rFonts w:ascii="Times New Roman" w:eastAsia="Times New Roman" w:hAnsi="Times New Roman" w:cs="Times New Roman"/>
          <w:color w:val="000000"/>
          <w:sz w:val="24"/>
          <w:szCs w:val="24"/>
        </w:rPr>
        <w:t>Levitt, 2017</w:t>
      </w:r>
      <w:r w:rsidR="00A12C42" w:rsidRPr="00EF4D34">
        <w:rPr>
          <w:rFonts w:ascii="Times New Roman" w:eastAsia="Times New Roman" w:hAnsi="Times New Roman" w:cs="Times New Roman"/>
          <w:color w:val="000000"/>
          <w:sz w:val="24"/>
          <w:szCs w:val="24"/>
        </w:rPr>
        <w:t>)</w:t>
      </w:r>
      <w:r>
        <w:rPr>
          <w:rFonts w:ascii="Times New Roman" w:hAnsi="Times New Roman" w:cs="Times New Roman"/>
          <w:sz w:val="24"/>
          <w:szCs w:val="24"/>
        </w:rPr>
        <w:t xml:space="preserve">. </w:t>
      </w:r>
      <w:r w:rsidR="009F2107">
        <w:rPr>
          <w:rFonts w:ascii="Times New Roman" w:hAnsi="Times New Roman" w:cs="Times New Roman"/>
          <w:sz w:val="24"/>
          <w:szCs w:val="24"/>
        </w:rPr>
        <w:t>A proximate cause principle is a dualism that is applicable in two situations, namely, concurrent efficient and multiple risk causes. A specific doctrine is determined by a specific situation and two tests or doctrines of proximate cause are applicable to distinct situations.</w:t>
      </w:r>
    </w:p>
    <w:p w:rsidR="00C81063" w:rsidRDefault="009F2107" w:rsidP="000D264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Sometimes, situations may overlap and when that happens, both doctrines may apply to the case and liability is established after satisfying all requirements for each situation. </w:t>
      </w:r>
      <w:r w:rsidR="006C02D3">
        <w:rPr>
          <w:rFonts w:ascii="Times New Roman" w:hAnsi="Times New Roman" w:cs="Times New Roman"/>
          <w:sz w:val="24"/>
          <w:szCs w:val="24"/>
        </w:rPr>
        <w:t>Multiple causes of a similar harm are known as concurrent efficient causes, one of which is the original cause responsible by the defendant</w:t>
      </w:r>
      <w:r w:rsidR="00EF4D34">
        <w:rPr>
          <w:rFonts w:ascii="Times New Roman" w:hAnsi="Times New Roman" w:cs="Times New Roman"/>
          <w:sz w:val="24"/>
          <w:szCs w:val="24"/>
        </w:rPr>
        <w:t xml:space="preserve"> (</w:t>
      </w:r>
      <w:r w:rsidR="00EF4D34">
        <w:rPr>
          <w:rFonts w:ascii="Times New Roman" w:eastAsia="Times New Roman" w:hAnsi="Times New Roman" w:cs="Times New Roman"/>
          <w:color w:val="000000"/>
          <w:sz w:val="24"/>
          <w:szCs w:val="24"/>
        </w:rPr>
        <w:t>Levitt, </w:t>
      </w:r>
      <w:r w:rsidR="00EF4D34">
        <w:rPr>
          <w:rFonts w:ascii="Times New Roman" w:eastAsia="Times New Roman" w:hAnsi="Times New Roman" w:cs="Times New Roman"/>
          <w:color w:val="000000"/>
          <w:sz w:val="24"/>
          <w:szCs w:val="24"/>
        </w:rPr>
        <w:t>2017</w:t>
      </w:r>
      <w:r w:rsidR="00EF4D34" w:rsidRPr="00EF4D34">
        <w:rPr>
          <w:rFonts w:ascii="Times New Roman" w:eastAsia="Times New Roman" w:hAnsi="Times New Roman" w:cs="Times New Roman"/>
          <w:color w:val="000000"/>
          <w:sz w:val="24"/>
          <w:szCs w:val="24"/>
        </w:rPr>
        <w:t>)</w:t>
      </w:r>
      <w:r w:rsidR="006C02D3">
        <w:rPr>
          <w:rFonts w:ascii="Times New Roman" w:hAnsi="Times New Roman" w:cs="Times New Roman"/>
          <w:sz w:val="24"/>
          <w:szCs w:val="24"/>
        </w:rPr>
        <w:t xml:space="preserve">. The second cause is known as the supervening cause that exists later in time </w:t>
      </w:r>
      <w:r w:rsidR="00973BD8">
        <w:rPr>
          <w:rFonts w:ascii="Times New Roman" w:hAnsi="Times New Roman" w:cs="Times New Roman"/>
          <w:sz w:val="24"/>
          <w:szCs w:val="24"/>
        </w:rPr>
        <w:t>following the original cause. Practically, successive causes tend to be the same although harm is aggravated by the second cause making the original harm to be responsible for two divisible harms</w:t>
      </w:r>
      <w:r w:rsidR="00A12C42">
        <w:rPr>
          <w:rFonts w:ascii="Times New Roman" w:hAnsi="Times New Roman" w:cs="Times New Roman"/>
          <w:sz w:val="24"/>
          <w:szCs w:val="24"/>
        </w:rPr>
        <w:t xml:space="preserve"> (</w:t>
      </w:r>
      <w:r w:rsidR="00A12C42">
        <w:rPr>
          <w:rFonts w:ascii="Times New Roman" w:eastAsia="Times New Roman" w:hAnsi="Times New Roman" w:cs="Times New Roman"/>
          <w:color w:val="000000"/>
          <w:sz w:val="24"/>
          <w:szCs w:val="24"/>
        </w:rPr>
        <w:t>Cox, </w:t>
      </w:r>
      <w:r w:rsidR="00A12C42">
        <w:rPr>
          <w:rFonts w:ascii="Times New Roman" w:eastAsia="Times New Roman" w:hAnsi="Times New Roman" w:cs="Times New Roman"/>
          <w:color w:val="000000"/>
          <w:sz w:val="24"/>
          <w:szCs w:val="24"/>
        </w:rPr>
        <w:t>201</w:t>
      </w:r>
      <w:r w:rsidR="00A12C42" w:rsidRPr="00EF4D34">
        <w:rPr>
          <w:rFonts w:ascii="Times New Roman" w:eastAsia="Times New Roman" w:hAnsi="Times New Roman" w:cs="Times New Roman"/>
          <w:color w:val="000000"/>
          <w:sz w:val="24"/>
          <w:szCs w:val="24"/>
        </w:rPr>
        <w:t>9</w:t>
      </w:r>
      <w:r w:rsidR="00A12C42">
        <w:rPr>
          <w:rFonts w:ascii="Times New Roman" w:eastAsia="Times New Roman" w:hAnsi="Times New Roman" w:cs="Times New Roman"/>
          <w:color w:val="000000"/>
          <w:sz w:val="24"/>
          <w:szCs w:val="24"/>
        </w:rPr>
        <w:t>)</w:t>
      </w:r>
      <w:r w:rsidR="00973BD8">
        <w:rPr>
          <w:rFonts w:ascii="Times New Roman" w:hAnsi="Times New Roman" w:cs="Times New Roman"/>
          <w:sz w:val="24"/>
          <w:szCs w:val="24"/>
        </w:rPr>
        <w:t xml:space="preserve">. The first harm results from the normal cause or first impact while the second harm results from the second impact. </w:t>
      </w:r>
    </w:p>
    <w:p w:rsidR="000D2646" w:rsidRPr="000D2646" w:rsidRDefault="000D2646" w:rsidP="000D2646">
      <w:pPr>
        <w:spacing w:line="480" w:lineRule="auto"/>
        <w:ind w:firstLine="720"/>
        <w:jc w:val="center"/>
        <w:rPr>
          <w:rFonts w:ascii="Times New Roman" w:hAnsi="Times New Roman" w:cs="Times New Roman"/>
          <w:b/>
          <w:sz w:val="24"/>
          <w:szCs w:val="24"/>
        </w:rPr>
      </w:pPr>
      <w:r w:rsidRPr="000D2646">
        <w:rPr>
          <w:rFonts w:ascii="Times New Roman" w:hAnsi="Times New Roman" w:cs="Times New Roman"/>
          <w:b/>
          <w:sz w:val="24"/>
          <w:szCs w:val="24"/>
        </w:rPr>
        <w:t>Conclusion</w:t>
      </w:r>
    </w:p>
    <w:p w:rsidR="000D2646" w:rsidRDefault="000D2646" w:rsidP="000D264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reason for ignoring the liability of the original wrongdoer is to lay focus on a responsible individual who may have failed to make use of corrective precaution. Similarly, the most basic motive of retaining the liability of an original wrongdoer is to ensure that the negligence of one party may render others to be vulnerable to the compliance of third party. Harm is considered to be unforeseeable in situations where cases are analyzed by courts through direct consequences doctrines. Even though such cases fail to produce the original wrongdoer’s liability, they tend to share more with cases based on reasonable foresight doctrine as opposed to cases where one party has omitte</w:t>
      </w:r>
      <w:bookmarkStart w:id="0" w:name="_GoBack"/>
      <w:bookmarkEnd w:id="0"/>
      <w:r>
        <w:rPr>
          <w:rFonts w:ascii="Times New Roman" w:hAnsi="Times New Roman" w:cs="Times New Roman"/>
          <w:sz w:val="24"/>
          <w:szCs w:val="24"/>
        </w:rPr>
        <w:t xml:space="preserve">d corrective precaution. Hypothetically, each individual is liable to others under precisely similar circumstances, although special rules were created by early common laws that could punish solvent individuals from negligently establishing tempting opportunities for judgment-proof-individuals.   </w:t>
      </w:r>
    </w:p>
    <w:p w:rsidR="00CF2D2F" w:rsidRPr="00CF2D2F" w:rsidRDefault="00CF2D2F" w:rsidP="00CF2D2F">
      <w:pPr>
        <w:shd w:val="clear" w:color="auto" w:fill="FFFFFF"/>
        <w:spacing w:after="0" w:line="240" w:lineRule="auto"/>
        <w:rPr>
          <w:rFonts w:ascii="ff4" w:eastAsia="Times New Roman" w:hAnsi="ff4" w:cs="Times New Roman"/>
          <w:color w:val="000000"/>
          <w:sz w:val="72"/>
          <w:szCs w:val="72"/>
        </w:rPr>
      </w:pPr>
    </w:p>
    <w:p w:rsidR="00C81063" w:rsidRDefault="00C81063" w:rsidP="00C81063">
      <w:pPr>
        <w:spacing w:line="480" w:lineRule="auto"/>
        <w:rPr>
          <w:rFonts w:ascii="Times New Roman" w:hAnsi="Times New Roman" w:cs="Times New Roman"/>
          <w:sz w:val="24"/>
          <w:szCs w:val="24"/>
        </w:rPr>
      </w:pPr>
    </w:p>
    <w:p w:rsidR="00A12C42" w:rsidRDefault="00A12C42" w:rsidP="00C81063">
      <w:pPr>
        <w:spacing w:line="480" w:lineRule="auto"/>
        <w:rPr>
          <w:rFonts w:ascii="Times New Roman" w:hAnsi="Times New Roman" w:cs="Times New Roman"/>
          <w:sz w:val="24"/>
          <w:szCs w:val="24"/>
        </w:rPr>
      </w:pPr>
    </w:p>
    <w:p w:rsidR="00EF4D34" w:rsidRPr="00EF4D34" w:rsidRDefault="00EF4D34" w:rsidP="00EF4D34">
      <w:pPr>
        <w:shd w:val="clear" w:color="auto" w:fill="FFFFFF"/>
        <w:spacing w:after="0" w:line="240" w:lineRule="auto"/>
        <w:jc w:val="center"/>
        <w:rPr>
          <w:rFonts w:ascii="Times New Roman" w:eastAsia="Times New Roman" w:hAnsi="Times New Roman" w:cs="Times New Roman"/>
          <w:b/>
          <w:color w:val="000000"/>
          <w:sz w:val="24"/>
          <w:szCs w:val="24"/>
        </w:rPr>
      </w:pPr>
      <w:r w:rsidRPr="00EF4D34">
        <w:rPr>
          <w:rFonts w:ascii="Times New Roman" w:eastAsia="Times New Roman" w:hAnsi="Times New Roman" w:cs="Times New Roman"/>
          <w:b/>
          <w:color w:val="000000"/>
          <w:sz w:val="24"/>
          <w:szCs w:val="24"/>
        </w:rPr>
        <w:t>References</w:t>
      </w:r>
    </w:p>
    <w:p w:rsidR="00EF4D34" w:rsidRPr="00EF4D34" w:rsidRDefault="00EF4D34" w:rsidP="00EF4D3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Cox, B. G. (201</w:t>
      </w:r>
      <w:r w:rsidRPr="00EF4D34">
        <w:rPr>
          <w:rFonts w:ascii="Times New Roman" w:eastAsia="Times New Roman" w:hAnsi="Times New Roman" w:cs="Times New Roman"/>
          <w:color w:val="000000"/>
          <w:sz w:val="24"/>
          <w:szCs w:val="24"/>
        </w:rPr>
        <w:t>9). Negligence: Proximate cause: When condition created by prior of successive negligent acts may be the proximate cause. </w:t>
      </w:r>
      <w:r w:rsidRPr="00EF4D34">
        <w:rPr>
          <w:rFonts w:ascii="Times New Roman" w:eastAsia="Times New Roman" w:hAnsi="Times New Roman" w:cs="Times New Roman"/>
          <w:i/>
          <w:iCs/>
          <w:color w:val="000000"/>
          <w:sz w:val="24"/>
          <w:szCs w:val="24"/>
        </w:rPr>
        <w:t>Michigan Law Review</w:t>
      </w:r>
      <w:r w:rsidRPr="00EF4D34">
        <w:rPr>
          <w:rFonts w:ascii="Times New Roman" w:eastAsia="Times New Roman" w:hAnsi="Times New Roman" w:cs="Times New Roman"/>
          <w:color w:val="000000"/>
          <w:sz w:val="24"/>
          <w:szCs w:val="24"/>
        </w:rPr>
        <w:t>, </w:t>
      </w:r>
      <w:r w:rsidRPr="00EF4D34">
        <w:rPr>
          <w:rFonts w:ascii="Times New Roman" w:eastAsia="Times New Roman" w:hAnsi="Times New Roman" w:cs="Times New Roman"/>
          <w:i/>
          <w:iCs/>
          <w:color w:val="000000"/>
          <w:sz w:val="24"/>
          <w:szCs w:val="24"/>
        </w:rPr>
        <w:t>37</w:t>
      </w:r>
      <w:r w:rsidRPr="00EF4D34">
        <w:rPr>
          <w:rFonts w:ascii="Times New Roman" w:eastAsia="Times New Roman" w:hAnsi="Times New Roman" w:cs="Times New Roman"/>
          <w:color w:val="000000"/>
          <w:sz w:val="24"/>
          <w:szCs w:val="24"/>
        </w:rPr>
        <w:t>(7), 1150. </w:t>
      </w:r>
      <w:hyperlink r:id="rId6" w:history="1">
        <w:r w:rsidRPr="00EF4D34">
          <w:rPr>
            <w:rFonts w:ascii="Times New Roman" w:eastAsia="Times New Roman" w:hAnsi="Times New Roman" w:cs="Times New Roman"/>
            <w:color w:val="000000"/>
            <w:sz w:val="24"/>
            <w:szCs w:val="24"/>
          </w:rPr>
          <w:t>https://doi.org/10.2307/1283214</w:t>
        </w:r>
      </w:hyperlink>
    </w:p>
    <w:p w:rsidR="00EF4D34" w:rsidRPr="00EF4D34" w:rsidRDefault="00EF4D34" w:rsidP="00EF4D3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Hovenkamp</w:t>
      </w:r>
      <w:proofErr w:type="spellEnd"/>
      <w:r>
        <w:rPr>
          <w:rFonts w:ascii="Times New Roman" w:eastAsia="Times New Roman" w:hAnsi="Times New Roman" w:cs="Times New Roman"/>
          <w:color w:val="000000"/>
          <w:sz w:val="24"/>
          <w:szCs w:val="24"/>
        </w:rPr>
        <w:t>, H. (200</w:t>
      </w:r>
      <w:r w:rsidRPr="00EF4D34">
        <w:rPr>
          <w:rFonts w:ascii="Times New Roman" w:eastAsia="Times New Roman" w:hAnsi="Times New Roman" w:cs="Times New Roman"/>
          <w:color w:val="000000"/>
          <w:sz w:val="24"/>
          <w:szCs w:val="24"/>
        </w:rPr>
        <w:t>2). Pragmatic realism and proximate cause in America. </w:t>
      </w:r>
      <w:r w:rsidRPr="00EF4D34">
        <w:rPr>
          <w:rFonts w:ascii="Times New Roman" w:eastAsia="Times New Roman" w:hAnsi="Times New Roman" w:cs="Times New Roman"/>
          <w:i/>
          <w:iCs/>
          <w:color w:val="000000"/>
          <w:sz w:val="24"/>
          <w:szCs w:val="24"/>
        </w:rPr>
        <w:t>The Journal of Legal History</w:t>
      </w:r>
      <w:r w:rsidRPr="00EF4D34">
        <w:rPr>
          <w:rFonts w:ascii="Times New Roman" w:eastAsia="Times New Roman" w:hAnsi="Times New Roman" w:cs="Times New Roman"/>
          <w:color w:val="000000"/>
          <w:sz w:val="24"/>
          <w:szCs w:val="24"/>
        </w:rPr>
        <w:t>, </w:t>
      </w:r>
      <w:r w:rsidRPr="00EF4D34">
        <w:rPr>
          <w:rFonts w:ascii="Times New Roman" w:eastAsia="Times New Roman" w:hAnsi="Times New Roman" w:cs="Times New Roman"/>
          <w:i/>
          <w:iCs/>
          <w:color w:val="000000"/>
          <w:sz w:val="24"/>
          <w:szCs w:val="24"/>
        </w:rPr>
        <w:t>3</w:t>
      </w:r>
      <w:r w:rsidRPr="00EF4D34">
        <w:rPr>
          <w:rFonts w:ascii="Times New Roman" w:eastAsia="Times New Roman" w:hAnsi="Times New Roman" w:cs="Times New Roman"/>
          <w:color w:val="000000"/>
          <w:sz w:val="24"/>
          <w:szCs w:val="24"/>
        </w:rPr>
        <w:t>(1), 3-30. </w:t>
      </w:r>
      <w:hyperlink r:id="rId7" w:history="1">
        <w:r w:rsidRPr="00EF4D34">
          <w:rPr>
            <w:rFonts w:ascii="Times New Roman" w:eastAsia="Times New Roman" w:hAnsi="Times New Roman" w:cs="Times New Roman"/>
            <w:color w:val="000000"/>
            <w:sz w:val="24"/>
            <w:szCs w:val="24"/>
          </w:rPr>
          <w:t>https://doi.org/10.1080/01440368208530753</w:t>
        </w:r>
      </w:hyperlink>
    </w:p>
    <w:p w:rsidR="00EF4D34" w:rsidRPr="00EF4D34" w:rsidRDefault="00EF4D34" w:rsidP="00EF4D3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Levitt, A. (2017</w:t>
      </w:r>
      <w:r w:rsidRPr="00EF4D34">
        <w:rPr>
          <w:rFonts w:ascii="Times New Roman" w:eastAsia="Times New Roman" w:hAnsi="Times New Roman" w:cs="Times New Roman"/>
          <w:color w:val="000000"/>
          <w:sz w:val="24"/>
          <w:szCs w:val="24"/>
        </w:rPr>
        <w:t>). Cause, legal cause and proximate cause. </w:t>
      </w:r>
      <w:r w:rsidRPr="00EF4D34">
        <w:rPr>
          <w:rFonts w:ascii="Times New Roman" w:eastAsia="Times New Roman" w:hAnsi="Times New Roman" w:cs="Times New Roman"/>
          <w:i/>
          <w:iCs/>
          <w:color w:val="000000"/>
          <w:sz w:val="24"/>
          <w:szCs w:val="24"/>
        </w:rPr>
        <w:t>Michigan Law Review</w:t>
      </w:r>
      <w:r w:rsidRPr="00EF4D34">
        <w:rPr>
          <w:rFonts w:ascii="Times New Roman" w:eastAsia="Times New Roman" w:hAnsi="Times New Roman" w:cs="Times New Roman"/>
          <w:color w:val="000000"/>
          <w:sz w:val="24"/>
          <w:szCs w:val="24"/>
        </w:rPr>
        <w:t>, </w:t>
      </w:r>
      <w:r w:rsidRPr="00EF4D34">
        <w:rPr>
          <w:rFonts w:ascii="Times New Roman" w:eastAsia="Times New Roman" w:hAnsi="Times New Roman" w:cs="Times New Roman"/>
          <w:i/>
          <w:iCs/>
          <w:color w:val="000000"/>
          <w:sz w:val="24"/>
          <w:szCs w:val="24"/>
        </w:rPr>
        <w:t>21</w:t>
      </w:r>
      <w:r w:rsidRPr="00EF4D34">
        <w:rPr>
          <w:rFonts w:ascii="Times New Roman" w:eastAsia="Times New Roman" w:hAnsi="Times New Roman" w:cs="Times New Roman"/>
          <w:color w:val="000000"/>
          <w:sz w:val="24"/>
          <w:szCs w:val="24"/>
        </w:rPr>
        <w:t>(1), 34. </w:t>
      </w:r>
      <w:hyperlink r:id="rId8" w:history="1">
        <w:r w:rsidRPr="00EF4D34">
          <w:rPr>
            <w:rFonts w:ascii="Times New Roman" w:eastAsia="Times New Roman" w:hAnsi="Times New Roman" w:cs="Times New Roman"/>
            <w:color w:val="000000"/>
            <w:sz w:val="24"/>
            <w:szCs w:val="24"/>
          </w:rPr>
          <w:t>https://doi.org/10.2307/1278106</w:t>
        </w:r>
      </w:hyperlink>
    </w:p>
    <w:p w:rsidR="00EF4D34" w:rsidRPr="00EF4D34" w:rsidRDefault="00EF4D34" w:rsidP="00EF4D34">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Traeger</w:t>
      </w:r>
      <w:proofErr w:type="spellEnd"/>
      <w:r>
        <w:rPr>
          <w:rFonts w:ascii="Times New Roman" w:eastAsia="Times New Roman" w:hAnsi="Times New Roman" w:cs="Times New Roman"/>
          <w:color w:val="000000"/>
          <w:sz w:val="24"/>
          <w:szCs w:val="24"/>
        </w:rPr>
        <w:t>, C. H. (201</w:t>
      </w:r>
      <w:r w:rsidRPr="00EF4D34">
        <w:rPr>
          <w:rFonts w:ascii="Times New Roman" w:eastAsia="Times New Roman" w:hAnsi="Times New Roman" w:cs="Times New Roman"/>
          <w:color w:val="000000"/>
          <w:sz w:val="24"/>
          <w:szCs w:val="24"/>
        </w:rPr>
        <w:t>6). Legal cause, proximate cause, and comparative negligence in the FELA. </w:t>
      </w:r>
      <w:r w:rsidRPr="00EF4D34">
        <w:rPr>
          <w:rFonts w:ascii="Times New Roman" w:eastAsia="Times New Roman" w:hAnsi="Times New Roman" w:cs="Times New Roman"/>
          <w:i/>
          <w:iCs/>
          <w:color w:val="000000"/>
          <w:sz w:val="24"/>
          <w:szCs w:val="24"/>
        </w:rPr>
        <w:t>Stanford Law Review</w:t>
      </w:r>
      <w:r w:rsidRPr="00EF4D34">
        <w:rPr>
          <w:rFonts w:ascii="Times New Roman" w:eastAsia="Times New Roman" w:hAnsi="Times New Roman" w:cs="Times New Roman"/>
          <w:color w:val="000000"/>
          <w:sz w:val="24"/>
          <w:szCs w:val="24"/>
        </w:rPr>
        <w:t>, </w:t>
      </w:r>
      <w:r w:rsidRPr="00EF4D34">
        <w:rPr>
          <w:rFonts w:ascii="Times New Roman" w:eastAsia="Times New Roman" w:hAnsi="Times New Roman" w:cs="Times New Roman"/>
          <w:i/>
          <w:iCs/>
          <w:color w:val="000000"/>
          <w:sz w:val="24"/>
          <w:szCs w:val="24"/>
        </w:rPr>
        <w:t>18</w:t>
      </w:r>
      <w:r w:rsidRPr="00EF4D34">
        <w:rPr>
          <w:rFonts w:ascii="Times New Roman" w:eastAsia="Times New Roman" w:hAnsi="Times New Roman" w:cs="Times New Roman"/>
          <w:color w:val="000000"/>
          <w:sz w:val="24"/>
          <w:szCs w:val="24"/>
        </w:rPr>
        <w:t>(5), 929. </w:t>
      </w:r>
      <w:hyperlink r:id="rId9" w:history="1">
        <w:r w:rsidRPr="00EF4D34">
          <w:rPr>
            <w:rFonts w:ascii="Times New Roman" w:eastAsia="Times New Roman" w:hAnsi="Times New Roman" w:cs="Times New Roman"/>
            <w:color w:val="000000"/>
            <w:sz w:val="24"/>
            <w:szCs w:val="24"/>
          </w:rPr>
          <w:t>https://doi.org/10.2307/1227094</w:t>
        </w:r>
      </w:hyperlink>
    </w:p>
    <w:p w:rsidR="000D2646" w:rsidRPr="00EF4D34" w:rsidRDefault="000D2646" w:rsidP="00C81063">
      <w:pPr>
        <w:spacing w:line="480" w:lineRule="auto"/>
        <w:rPr>
          <w:rFonts w:ascii="Times New Roman" w:hAnsi="Times New Roman" w:cs="Times New Roman"/>
          <w:sz w:val="24"/>
          <w:szCs w:val="24"/>
        </w:rPr>
      </w:pPr>
    </w:p>
    <w:p w:rsidR="000D2646" w:rsidRPr="00EF4D34" w:rsidRDefault="000D2646" w:rsidP="00C81063">
      <w:pPr>
        <w:spacing w:line="480" w:lineRule="auto"/>
        <w:rPr>
          <w:rFonts w:ascii="Times New Roman" w:hAnsi="Times New Roman" w:cs="Times New Roman"/>
          <w:sz w:val="24"/>
          <w:szCs w:val="24"/>
        </w:rPr>
      </w:pPr>
    </w:p>
    <w:p w:rsidR="00C81063" w:rsidRPr="00EF4D34" w:rsidRDefault="00C81063" w:rsidP="00C81063">
      <w:pPr>
        <w:spacing w:line="480" w:lineRule="auto"/>
        <w:rPr>
          <w:rFonts w:ascii="Times New Roman" w:hAnsi="Times New Roman" w:cs="Times New Roman"/>
          <w:sz w:val="24"/>
          <w:szCs w:val="24"/>
        </w:rPr>
      </w:pPr>
    </w:p>
    <w:p w:rsidR="00C81063" w:rsidRDefault="00C81063" w:rsidP="00C81063">
      <w:pPr>
        <w:spacing w:line="480" w:lineRule="auto"/>
        <w:rPr>
          <w:rFonts w:ascii="Times New Roman" w:hAnsi="Times New Roman" w:cs="Times New Roman"/>
          <w:sz w:val="24"/>
          <w:szCs w:val="24"/>
        </w:rPr>
      </w:pPr>
    </w:p>
    <w:p w:rsidR="00C81063" w:rsidRPr="00D317B7" w:rsidRDefault="00C81063" w:rsidP="00C81063">
      <w:pPr>
        <w:spacing w:line="480" w:lineRule="auto"/>
        <w:rPr>
          <w:rFonts w:ascii="Times New Roman" w:hAnsi="Times New Roman" w:cs="Times New Roman"/>
          <w:sz w:val="24"/>
          <w:szCs w:val="24"/>
        </w:rPr>
      </w:pPr>
    </w:p>
    <w:sectPr w:rsidR="00C81063" w:rsidRPr="00D317B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D0E" w:rsidRDefault="00B11D0E" w:rsidP="003553B8">
      <w:pPr>
        <w:spacing w:after="0" w:line="240" w:lineRule="auto"/>
      </w:pPr>
      <w:r>
        <w:separator/>
      </w:r>
    </w:p>
  </w:endnote>
  <w:endnote w:type="continuationSeparator" w:id="0">
    <w:p w:rsidR="00B11D0E" w:rsidRDefault="00B11D0E" w:rsidP="00355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ff4">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D0E" w:rsidRDefault="00B11D0E" w:rsidP="003553B8">
      <w:pPr>
        <w:spacing w:after="0" w:line="240" w:lineRule="auto"/>
      </w:pPr>
      <w:r>
        <w:separator/>
      </w:r>
    </w:p>
  </w:footnote>
  <w:footnote w:type="continuationSeparator" w:id="0">
    <w:p w:rsidR="00B11D0E" w:rsidRDefault="00B11D0E" w:rsidP="003553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8332503"/>
      <w:docPartObj>
        <w:docPartGallery w:val="Page Numbers (Top of Page)"/>
        <w:docPartUnique/>
      </w:docPartObj>
    </w:sdtPr>
    <w:sdtEndPr>
      <w:rPr>
        <w:noProof/>
      </w:rPr>
    </w:sdtEndPr>
    <w:sdtContent>
      <w:p w:rsidR="003553B8" w:rsidRDefault="003553B8">
        <w:pPr>
          <w:pStyle w:val="Header"/>
          <w:jc w:val="right"/>
        </w:pPr>
        <w:r>
          <w:fldChar w:fldCharType="begin"/>
        </w:r>
        <w:r>
          <w:instrText xml:space="preserve"> PAGE   \* MERGEFORMAT </w:instrText>
        </w:r>
        <w:r>
          <w:fldChar w:fldCharType="separate"/>
        </w:r>
        <w:r w:rsidR="009D66F3">
          <w:rPr>
            <w:noProof/>
          </w:rPr>
          <w:t>7</w:t>
        </w:r>
        <w:r>
          <w:rPr>
            <w:noProof/>
          </w:rPr>
          <w:fldChar w:fldCharType="end"/>
        </w:r>
      </w:p>
    </w:sdtContent>
  </w:sdt>
  <w:p w:rsidR="003553B8" w:rsidRDefault="003553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7B7"/>
    <w:rsid w:val="00045B65"/>
    <w:rsid w:val="000578FC"/>
    <w:rsid w:val="000D2646"/>
    <w:rsid w:val="000E0322"/>
    <w:rsid w:val="000F1475"/>
    <w:rsid w:val="0015517F"/>
    <w:rsid w:val="001565AF"/>
    <w:rsid w:val="001A37CC"/>
    <w:rsid w:val="001B1F80"/>
    <w:rsid w:val="001B641A"/>
    <w:rsid w:val="001E6E3F"/>
    <w:rsid w:val="00211C5F"/>
    <w:rsid w:val="002220E7"/>
    <w:rsid w:val="00246DAA"/>
    <w:rsid w:val="002F2098"/>
    <w:rsid w:val="0030778C"/>
    <w:rsid w:val="003553B8"/>
    <w:rsid w:val="00392C6A"/>
    <w:rsid w:val="003B6F02"/>
    <w:rsid w:val="00410011"/>
    <w:rsid w:val="00533C72"/>
    <w:rsid w:val="005C6A6F"/>
    <w:rsid w:val="006C02D3"/>
    <w:rsid w:val="007166E3"/>
    <w:rsid w:val="0079111E"/>
    <w:rsid w:val="007B45BD"/>
    <w:rsid w:val="00804C86"/>
    <w:rsid w:val="00821602"/>
    <w:rsid w:val="008305A0"/>
    <w:rsid w:val="00832B61"/>
    <w:rsid w:val="008B467E"/>
    <w:rsid w:val="00930690"/>
    <w:rsid w:val="00930911"/>
    <w:rsid w:val="009731AA"/>
    <w:rsid w:val="00973BD8"/>
    <w:rsid w:val="00994E28"/>
    <w:rsid w:val="009D66F3"/>
    <w:rsid w:val="009F2107"/>
    <w:rsid w:val="00A12C42"/>
    <w:rsid w:val="00A36F52"/>
    <w:rsid w:val="00A55039"/>
    <w:rsid w:val="00AE1B11"/>
    <w:rsid w:val="00B11D0E"/>
    <w:rsid w:val="00BD5C15"/>
    <w:rsid w:val="00C247BB"/>
    <w:rsid w:val="00C81063"/>
    <w:rsid w:val="00CF2D2F"/>
    <w:rsid w:val="00D317B7"/>
    <w:rsid w:val="00D9113C"/>
    <w:rsid w:val="00E45048"/>
    <w:rsid w:val="00E65E88"/>
    <w:rsid w:val="00EC0C3E"/>
    <w:rsid w:val="00EF4D34"/>
    <w:rsid w:val="00F15146"/>
    <w:rsid w:val="00F56B4A"/>
    <w:rsid w:val="00F900F0"/>
    <w:rsid w:val="00FD1C25"/>
    <w:rsid w:val="00FF5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950A3-0470-4AAC-B4E6-B6CADA25C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53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3B8"/>
  </w:style>
  <w:style w:type="paragraph" w:styleId="Footer">
    <w:name w:val="footer"/>
    <w:basedOn w:val="Normal"/>
    <w:link w:val="FooterChar"/>
    <w:uiPriority w:val="99"/>
    <w:unhideWhenUsed/>
    <w:rsid w:val="003553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3B8"/>
  </w:style>
  <w:style w:type="character" w:customStyle="1" w:styleId="fs3">
    <w:name w:val="fs3"/>
    <w:basedOn w:val="DefaultParagraphFont"/>
    <w:rsid w:val="00CF2D2F"/>
  </w:style>
  <w:style w:type="character" w:customStyle="1" w:styleId="ff8">
    <w:name w:val="ff8"/>
    <w:basedOn w:val="DefaultParagraphFont"/>
    <w:rsid w:val="00CF2D2F"/>
  </w:style>
  <w:style w:type="character" w:customStyle="1" w:styleId="ff4">
    <w:name w:val="ff4"/>
    <w:basedOn w:val="DefaultParagraphFont"/>
    <w:rsid w:val="00CF2D2F"/>
  </w:style>
  <w:style w:type="character" w:customStyle="1" w:styleId="lsf">
    <w:name w:val="lsf"/>
    <w:basedOn w:val="DefaultParagraphFont"/>
    <w:rsid w:val="000F1475"/>
  </w:style>
  <w:style w:type="character" w:customStyle="1" w:styleId="ls11">
    <w:name w:val="ls11"/>
    <w:basedOn w:val="DefaultParagraphFont"/>
    <w:rsid w:val="000F1475"/>
  </w:style>
  <w:style w:type="character" w:customStyle="1" w:styleId="ws1">
    <w:name w:val="ws1"/>
    <w:basedOn w:val="DefaultParagraphFont"/>
    <w:rsid w:val="000F1475"/>
  </w:style>
  <w:style w:type="character" w:customStyle="1" w:styleId="ls0">
    <w:name w:val="ls0"/>
    <w:basedOn w:val="DefaultParagraphFont"/>
    <w:rsid w:val="00211C5F"/>
  </w:style>
  <w:style w:type="paragraph" w:styleId="NormalWeb">
    <w:name w:val="Normal (Web)"/>
    <w:basedOn w:val="Normal"/>
    <w:uiPriority w:val="99"/>
    <w:semiHidden/>
    <w:unhideWhenUsed/>
    <w:rsid w:val="00EF4D3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F4D34"/>
    <w:rPr>
      <w:i/>
      <w:iCs/>
    </w:rPr>
  </w:style>
  <w:style w:type="character" w:styleId="Hyperlink">
    <w:name w:val="Hyperlink"/>
    <w:basedOn w:val="DefaultParagraphFont"/>
    <w:uiPriority w:val="99"/>
    <w:semiHidden/>
    <w:unhideWhenUsed/>
    <w:rsid w:val="00EF4D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4130">
      <w:bodyDiv w:val="1"/>
      <w:marLeft w:val="0"/>
      <w:marRight w:val="0"/>
      <w:marTop w:val="0"/>
      <w:marBottom w:val="0"/>
      <w:divBdr>
        <w:top w:val="none" w:sz="0" w:space="0" w:color="auto"/>
        <w:left w:val="none" w:sz="0" w:space="0" w:color="auto"/>
        <w:bottom w:val="none" w:sz="0" w:space="0" w:color="auto"/>
        <w:right w:val="none" w:sz="0" w:space="0" w:color="auto"/>
      </w:divBdr>
    </w:div>
    <w:div w:id="36634784">
      <w:bodyDiv w:val="1"/>
      <w:marLeft w:val="0"/>
      <w:marRight w:val="0"/>
      <w:marTop w:val="0"/>
      <w:marBottom w:val="0"/>
      <w:divBdr>
        <w:top w:val="none" w:sz="0" w:space="0" w:color="auto"/>
        <w:left w:val="none" w:sz="0" w:space="0" w:color="auto"/>
        <w:bottom w:val="none" w:sz="0" w:space="0" w:color="auto"/>
        <w:right w:val="none" w:sz="0" w:space="0" w:color="auto"/>
      </w:divBdr>
    </w:div>
    <w:div w:id="169758436">
      <w:bodyDiv w:val="1"/>
      <w:marLeft w:val="0"/>
      <w:marRight w:val="0"/>
      <w:marTop w:val="0"/>
      <w:marBottom w:val="0"/>
      <w:divBdr>
        <w:top w:val="none" w:sz="0" w:space="0" w:color="auto"/>
        <w:left w:val="none" w:sz="0" w:space="0" w:color="auto"/>
        <w:bottom w:val="none" w:sz="0" w:space="0" w:color="auto"/>
        <w:right w:val="none" w:sz="0" w:space="0" w:color="auto"/>
      </w:divBdr>
    </w:div>
    <w:div w:id="189148853">
      <w:bodyDiv w:val="1"/>
      <w:marLeft w:val="0"/>
      <w:marRight w:val="0"/>
      <w:marTop w:val="0"/>
      <w:marBottom w:val="0"/>
      <w:divBdr>
        <w:top w:val="none" w:sz="0" w:space="0" w:color="auto"/>
        <w:left w:val="none" w:sz="0" w:space="0" w:color="auto"/>
        <w:bottom w:val="none" w:sz="0" w:space="0" w:color="auto"/>
        <w:right w:val="none" w:sz="0" w:space="0" w:color="auto"/>
      </w:divBdr>
    </w:div>
    <w:div w:id="328484109">
      <w:bodyDiv w:val="1"/>
      <w:marLeft w:val="0"/>
      <w:marRight w:val="0"/>
      <w:marTop w:val="0"/>
      <w:marBottom w:val="0"/>
      <w:divBdr>
        <w:top w:val="none" w:sz="0" w:space="0" w:color="auto"/>
        <w:left w:val="none" w:sz="0" w:space="0" w:color="auto"/>
        <w:bottom w:val="none" w:sz="0" w:space="0" w:color="auto"/>
        <w:right w:val="none" w:sz="0" w:space="0" w:color="auto"/>
      </w:divBdr>
    </w:div>
    <w:div w:id="508520282">
      <w:bodyDiv w:val="1"/>
      <w:marLeft w:val="0"/>
      <w:marRight w:val="0"/>
      <w:marTop w:val="0"/>
      <w:marBottom w:val="0"/>
      <w:divBdr>
        <w:top w:val="none" w:sz="0" w:space="0" w:color="auto"/>
        <w:left w:val="none" w:sz="0" w:space="0" w:color="auto"/>
        <w:bottom w:val="none" w:sz="0" w:space="0" w:color="auto"/>
        <w:right w:val="none" w:sz="0" w:space="0" w:color="auto"/>
      </w:divBdr>
    </w:div>
    <w:div w:id="523205929">
      <w:bodyDiv w:val="1"/>
      <w:marLeft w:val="0"/>
      <w:marRight w:val="0"/>
      <w:marTop w:val="0"/>
      <w:marBottom w:val="0"/>
      <w:divBdr>
        <w:top w:val="none" w:sz="0" w:space="0" w:color="auto"/>
        <w:left w:val="none" w:sz="0" w:space="0" w:color="auto"/>
        <w:bottom w:val="none" w:sz="0" w:space="0" w:color="auto"/>
        <w:right w:val="none" w:sz="0" w:space="0" w:color="auto"/>
      </w:divBdr>
    </w:div>
    <w:div w:id="653722527">
      <w:bodyDiv w:val="1"/>
      <w:marLeft w:val="0"/>
      <w:marRight w:val="0"/>
      <w:marTop w:val="0"/>
      <w:marBottom w:val="0"/>
      <w:divBdr>
        <w:top w:val="none" w:sz="0" w:space="0" w:color="auto"/>
        <w:left w:val="none" w:sz="0" w:space="0" w:color="auto"/>
        <w:bottom w:val="none" w:sz="0" w:space="0" w:color="auto"/>
        <w:right w:val="none" w:sz="0" w:space="0" w:color="auto"/>
      </w:divBdr>
    </w:div>
    <w:div w:id="765924020">
      <w:bodyDiv w:val="1"/>
      <w:marLeft w:val="0"/>
      <w:marRight w:val="0"/>
      <w:marTop w:val="0"/>
      <w:marBottom w:val="0"/>
      <w:divBdr>
        <w:top w:val="none" w:sz="0" w:space="0" w:color="auto"/>
        <w:left w:val="none" w:sz="0" w:space="0" w:color="auto"/>
        <w:bottom w:val="none" w:sz="0" w:space="0" w:color="auto"/>
        <w:right w:val="none" w:sz="0" w:space="0" w:color="auto"/>
      </w:divBdr>
    </w:div>
    <w:div w:id="843209206">
      <w:bodyDiv w:val="1"/>
      <w:marLeft w:val="0"/>
      <w:marRight w:val="0"/>
      <w:marTop w:val="0"/>
      <w:marBottom w:val="0"/>
      <w:divBdr>
        <w:top w:val="none" w:sz="0" w:space="0" w:color="auto"/>
        <w:left w:val="none" w:sz="0" w:space="0" w:color="auto"/>
        <w:bottom w:val="none" w:sz="0" w:space="0" w:color="auto"/>
        <w:right w:val="none" w:sz="0" w:space="0" w:color="auto"/>
      </w:divBdr>
    </w:div>
    <w:div w:id="1096442277">
      <w:bodyDiv w:val="1"/>
      <w:marLeft w:val="0"/>
      <w:marRight w:val="0"/>
      <w:marTop w:val="0"/>
      <w:marBottom w:val="0"/>
      <w:divBdr>
        <w:top w:val="none" w:sz="0" w:space="0" w:color="auto"/>
        <w:left w:val="none" w:sz="0" w:space="0" w:color="auto"/>
        <w:bottom w:val="none" w:sz="0" w:space="0" w:color="auto"/>
        <w:right w:val="none" w:sz="0" w:space="0" w:color="auto"/>
      </w:divBdr>
    </w:div>
    <w:div w:id="1128402649">
      <w:bodyDiv w:val="1"/>
      <w:marLeft w:val="0"/>
      <w:marRight w:val="0"/>
      <w:marTop w:val="0"/>
      <w:marBottom w:val="0"/>
      <w:divBdr>
        <w:top w:val="none" w:sz="0" w:space="0" w:color="auto"/>
        <w:left w:val="none" w:sz="0" w:space="0" w:color="auto"/>
        <w:bottom w:val="none" w:sz="0" w:space="0" w:color="auto"/>
        <w:right w:val="none" w:sz="0" w:space="0" w:color="auto"/>
      </w:divBdr>
    </w:div>
    <w:div w:id="1387681768">
      <w:bodyDiv w:val="1"/>
      <w:marLeft w:val="0"/>
      <w:marRight w:val="0"/>
      <w:marTop w:val="0"/>
      <w:marBottom w:val="0"/>
      <w:divBdr>
        <w:top w:val="none" w:sz="0" w:space="0" w:color="auto"/>
        <w:left w:val="none" w:sz="0" w:space="0" w:color="auto"/>
        <w:bottom w:val="none" w:sz="0" w:space="0" w:color="auto"/>
        <w:right w:val="none" w:sz="0" w:space="0" w:color="auto"/>
      </w:divBdr>
    </w:div>
    <w:div w:id="1405105666">
      <w:bodyDiv w:val="1"/>
      <w:marLeft w:val="0"/>
      <w:marRight w:val="0"/>
      <w:marTop w:val="0"/>
      <w:marBottom w:val="0"/>
      <w:divBdr>
        <w:top w:val="none" w:sz="0" w:space="0" w:color="auto"/>
        <w:left w:val="none" w:sz="0" w:space="0" w:color="auto"/>
        <w:bottom w:val="none" w:sz="0" w:space="0" w:color="auto"/>
        <w:right w:val="none" w:sz="0" w:space="0" w:color="auto"/>
      </w:divBdr>
    </w:div>
    <w:div w:id="1512261552">
      <w:bodyDiv w:val="1"/>
      <w:marLeft w:val="0"/>
      <w:marRight w:val="0"/>
      <w:marTop w:val="0"/>
      <w:marBottom w:val="0"/>
      <w:divBdr>
        <w:top w:val="none" w:sz="0" w:space="0" w:color="auto"/>
        <w:left w:val="none" w:sz="0" w:space="0" w:color="auto"/>
        <w:bottom w:val="none" w:sz="0" w:space="0" w:color="auto"/>
        <w:right w:val="none" w:sz="0" w:space="0" w:color="auto"/>
      </w:divBdr>
    </w:div>
    <w:div w:id="1534074346">
      <w:bodyDiv w:val="1"/>
      <w:marLeft w:val="0"/>
      <w:marRight w:val="0"/>
      <w:marTop w:val="0"/>
      <w:marBottom w:val="0"/>
      <w:divBdr>
        <w:top w:val="none" w:sz="0" w:space="0" w:color="auto"/>
        <w:left w:val="none" w:sz="0" w:space="0" w:color="auto"/>
        <w:bottom w:val="none" w:sz="0" w:space="0" w:color="auto"/>
        <w:right w:val="none" w:sz="0" w:space="0" w:color="auto"/>
      </w:divBdr>
    </w:div>
    <w:div w:id="1580022826">
      <w:bodyDiv w:val="1"/>
      <w:marLeft w:val="0"/>
      <w:marRight w:val="0"/>
      <w:marTop w:val="0"/>
      <w:marBottom w:val="0"/>
      <w:divBdr>
        <w:top w:val="none" w:sz="0" w:space="0" w:color="auto"/>
        <w:left w:val="none" w:sz="0" w:space="0" w:color="auto"/>
        <w:bottom w:val="none" w:sz="0" w:space="0" w:color="auto"/>
        <w:right w:val="none" w:sz="0" w:space="0" w:color="auto"/>
      </w:divBdr>
    </w:div>
    <w:div w:id="1662387653">
      <w:bodyDiv w:val="1"/>
      <w:marLeft w:val="0"/>
      <w:marRight w:val="0"/>
      <w:marTop w:val="0"/>
      <w:marBottom w:val="0"/>
      <w:divBdr>
        <w:top w:val="none" w:sz="0" w:space="0" w:color="auto"/>
        <w:left w:val="none" w:sz="0" w:space="0" w:color="auto"/>
        <w:bottom w:val="none" w:sz="0" w:space="0" w:color="auto"/>
        <w:right w:val="none" w:sz="0" w:space="0" w:color="auto"/>
      </w:divBdr>
    </w:div>
    <w:div w:id="1748532712">
      <w:bodyDiv w:val="1"/>
      <w:marLeft w:val="0"/>
      <w:marRight w:val="0"/>
      <w:marTop w:val="0"/>
      <w:marBottom w:val="0"/>
      <w:divBdr>
        <w:top w:val="none" w:sz="0" w:space="0" w:color="auto"/>
        <w:left w:val="none" w:sz="0" w:space="0" w:color="auto"/>
        <w:bottom w:val="none" w:sz="0" w:space="0" w:color="auto"/>
        <w:right w:val="none" w:sz="0" w:space="0" w:color="auto"/>
      </w:divBdr>
    </w:div>
    <w:div w:id="2001348615">
      <w:bodyDiv w:val="1"/>
      <w:marLeft w:val="0"/>
      <w:marRight w:val="0"/>
      <w:marTop w:val="0"/>
      <w:marBottom w:val="0"/>
      <w:divBdr>
        <w:top w:val="none" w:sz="0" w:space="0" w:color="auto"/>
        <w:left w:val="none" w:sz="0" w:space="0" w:color="auto"/>
        <w:bottom w:val="none" w:sz="0" w:space="0" w:color="auto"/>
        <w:right w:val="none" w:sz="0" w:space="0" w:color="auto"/>
      </w:divBdr>
    </w:div>
    <w:div w:id="213575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1278106" TargetMode="External"/><Relationship Id="rId3" Type="http://schemas.openxmlformats.org/officeDocument/2006/relationships/webSettings" Target="webSettings.xml"/><Relationship Id="rId7" Type="http://schemas.openxmlformats.org/officeDocument/2006/relationships/hyperlink" Target="https://doi.org/10.1080/0144036820853075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307/128321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2307/12270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7</Pages>
  <Words>1563</Words>
  <Characters>8911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Kithinji</dc:creator>
  <cp:keywords/>
  <dc:description/>
  <cp:lastModifiedBy>Kithinji</cp:lastModifiedBy>
  <cp:revision>33</cp:revision>
  <dcterms:created xsi:type="dcterms:W3CDTF">2021-10-19T06:43:00Z</dcterms:created>
  <dcterms:modified xsi:type="dcterms:W3CDTF">2021-10-19T13:16:00Z</dcterms:modified>
</cp:coreProperties>
</file>